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8D742C" w:rsidRDefault="008D742C" w:rsidP="008D742C">
      <w:pPr>
        <w:spacing w:line="440" w:lineRule="exact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>附件</w:t>
      </w:r>
    </w:p>
    <w:p w:rsidR="008D742C" w:rsidRPr="008D742C" w:rsidRDefault="008D742C" w:rsidP="008D742C">
      <w:pPr>
        <w:spacing w:line="440" w:lineRule="exact"/>
        <w:rPr>
          <w:rFonts w:ascii="方正黑体_GBK" w:eastAsia="方正黑体_GBK" w:hint="eastAsia"/>
        </w:rPr>
      </w:pPr>
    </w:p>
    <w:p w:rsidR="008D742C" w:rsidRDefault="008D742C" w:rsidP="008D742C">
      <w:pPr>
        <w:widowControl/>
        <w:spacing w:line="520" w:lineRule="exact"/>
        <w:jc w:val="center"/>
        <w:rPr>
          <w:rFonts w:ascii="黑体" w:eastAsia="黑体" w:hAnsi="宋体" w:cs="宋体" w:hint="eastAsia"/>
          <w:color w:val="000000"/>
          <w:kern w:val="0"/>
          <w:sz w:val="36"/>
          <w:szCs w:val="36"/>
        </w:rPr>
      </w:pPr>
      <w:r w:rsidRPr="007C43EA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江苏省电机工程学会2018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年度优秀学术论文</w:t>
      </w:r>
    </w:p>
    <w:p w:rsidR="008D742C" w:rsidRDefault="008D742C" w:rsidP="008D742C">
      <w:pPr>
        <w:widowControl/>
        <w:spacing w:afterLines="50" w:line="520" w:lineRule="exact"/>
        <w:jc w:val="center"/>
        <w:rPr>
          <w:rFonts w:ascii="方正仿宋_GBK" w:eastAsia="方正仿宋_GBK" w:hAnsi="宋体" w:cs="宋体"/>
          <w:kern w:val="0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获奖名单</w:t>
      </w:r>
    </w:p>
    <w:tbl>
      <w:tblPr>
        <w:tblW w:w="852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645"/>
        <w:gridCol w:w="2631"/>
        <w:gridCol w:w="2126"/>
        <w:gridCol w:w="3118"/>
      </w:tblGrid>
      <w:tr w:rsidR="008D742C" w:rsidRPr="007C43EA" w:rsidTr="005C74FE">
        <w:trPr>
          <w:trHeight w:val="35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题目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作者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单位</w:t>
            </w:r>
          </w:p>
        </w:tc>
      </w:tr>
      <w:tr w:rsidR="008D742C" w:rsidRPr="007C43EA" w:rsidTr="005C74FE">
        <w:trPr>
          <w:trHeight w:val="8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基于UPFC抑制HVDC换相失败的控制方法研究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张宁宇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，刘建坤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王  蒙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国网江苏省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电力有限公司电力科学研究院；2.南京工程学院电力工程学院</w:t>
            </w:r>
          </w:p>
        </w:tc>
      </w:tr>
      <w:tr w:rsidR="008D742C" w:rsidRPr="007C43EA" w:rsidTr="005C74FE">
        <w:trPr>
          <w:trHeight w:val="94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500kV过补偿线路合闸直流偏置抑制技术的研究及应用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李海涛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，须 雷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8D742C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熊慕文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，刘东超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曹树江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，张佳鑫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1.南京南瑞继保电气有限公司；2. 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国网河北省电力有限公司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；3.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国网河北省电力有限公司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电力科学研究院</w:t>
            </w:r>
          </w:p>
        </w:tc>
      </w:tr>
      <w:tr w:rsidR="008D742C" w:rsidRPr="007C43EA" w:rsidTr="005C74FE">
        <w:trPr>
          <w:trHeight w:val="95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混合电力线路高频保护载波通信衰减分析研究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庞福滨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, 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崔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  玉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， 吴  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奕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，高海龙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1. 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国网江苏省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电力有限公司电力科学研究院；2. 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国网江苏省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电力有限公司；3. 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国网江苏省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电力有限公司徐州供电分公司</w:t>
            </w:r>
          </w:p>
        </w:tc>
      </w:tr>
      <w:tr w:rsidR="008D742C" w:rsidRPr="007C43EA" w:rsidTr="005C74FE">
        <w:trPr>
          <w:trHeight w:val="5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高压直流输电线路故障测距新原理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杨黎明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1,2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，薛明军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1,2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，李玉平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1,2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，陈  实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1,2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邹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磊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1,2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1.国电南京自动化股份有限公司；2.南京国电南自自动化有限公司</w:t>
            </w:r>
          </w:p>
        </w:tc>
      </w:tr>
      <w:tr w:rsidR="008D742C" w:rsidRPr="007C43EA" w:rsidTr="005C74FE">
        <w:trPr>
          <w:trHeight w:val="56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结合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时频特征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的高压输电线路行波故障测距研究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杨  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凯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卢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  毅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国网江苏省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电力有限公司经济技术研究院；2.东南大学电气工程学院</w:t>
            </w:r>
          </w:p>
        </w:tc>
      </w:tr>
      <w:tr w:rsidR="008D742C" w:rsidRPr="007C43EA" w:rsidTr="005C74FE">
        <w:trPr>
          <w:trHeight w:val="57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220kV电力变压器铁心剩磁量评估及消磁方法研究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李建生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，陶风波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，蔚  超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，李瑞彬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国网江苏省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电力有限公司电力科学研究院；2.南京导纳能科技有限公司</w:t>
            </w:r>
          </w:p>
        </w:tc>
      </w:tr>
      <w:tr w:rsidR="008D742C" w:rsidRPr="007C43EA" w:rsidTr="005C74FE">
        <w:trPr>
          <w:trHeight w:val="65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考虑地形因素的风电场动态同调分群方法研究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郑文哲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，卜  京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8D742C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张宁宇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，周  前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刘建坤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1.南京理工大学；2.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国网江苏省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电力公司电力科学研究院</w:t>
            </w:r>
          </w:p>
        </w:tc>
      </w:tr>
      <w:tr w:rsidR="008D742C" w:rsidRPr="007C43EA" w:rsidTr="005C74FE">
        <w:trPr>
          <w:trHeight w:val="9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解决500kV变电站35kV所用变串联电抗器无保护的阻抗保护方案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汤大海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，王中浪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8D742C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陈永明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，孙东杰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8D742C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李  静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，曹  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斌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  <w:vertAlign w:val="superscript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潘书燕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国网镇江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供电分公司；2.国电南瑞科技股份有限公司</w:t>
            </w:r>
          </w:p>
        </w:tc>
      </w:tr>
      <w:tr w:rsidR="008D742C" w:rsidRPr="007C43EA" w:rsidTr="005C74FE">
        <w:trPr>
          <w:trHeight w:val="67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自耦变压器分接头不一致等值回路及对中性点电流影响分析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王玉婷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1,2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，薛明军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1,2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常晓勇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1,2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，李玉平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1,2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，徐程骥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1,2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1.国电南京自动化股份有限公司；2.南京国电南自电网自动化有限公司</w:t>
            </w:r>
          </w:p>
        </w:tc>
      </w:tr>
      <w:tr w:rsidR="008D742C" w:rsidRPr="007C43EA" w:rsidTr="005C74FE">
        <w:trPr>
          <w:trHeight w:val="46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快速开关与无损耗深度限流节能技术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李顺宗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，黄伦文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1.泰州市电机工程学会；2.上海合凯电气科技有限公司</w:t>
            </w:r>
          </w:p>
        </w:tc>
      </w:tr>
      <w:tr w:rsidR="008D742C" w:rsidRPr="007C43EA" w:rsidTr="005C74FE">
        <w:trPr>
          <w:trHeight w:val="5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计及风电接入不确定性的电网脆弱性评估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吴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晨，黄俊辉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国网江苏省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电力有限公司经济技术研究院</w:t>
            </w:r>
          </w:p>
        </w:tc>
      </w:tr>
      <w:tr w:rsidR="008D742C" w:rsidRPr="007C43EA" w:rsidTr="005C74FE">
        <w:trPr>
          <w:trHeight w:val="4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OT技术在1000MW超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超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临界二次再热机组的应用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宋  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国电泰州发电有限公司</w:t>
            </w:r>
          </w:p>
        </w:tc>
      </w:tr>
      <w:tr w:rsidR="008D742C" w:rsidRPr="007C43EA" w:rsidTr="005C74FE">
        <w:trPr>
          <w:trHeight w:val="4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超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超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临界直流锅炉蒸汽含氢量控制试验研究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江鹏威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，于海全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1.国电江苏电力有限公司谏壁发电厂；2. 江苏方天电力技术有限公司</w:t>
            </w:r>
          </w:p>
        </w:tc>
      </w:tr>
      <w:tr w:rsidR="008D742C" w:rsidRPr="007C43EA" w:rsidTr="005C74FE">
        <w:trPr>
          <w:trHeight w:val="4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超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超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临界机组末级过热器爆管原因分析及防治措施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洪步强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，肖  杰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王  翾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 xml:space="preserve">，孙  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浩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1.江苏国信靖江发电有限公司；2.江苏方天电力技术有限公司</w:t>
            </w:r>
          </w:p>
        </w:tc>
      </w:tr>
      <w:tr w:rsidR="008D742C" w:rsidRPr="007C43EA" w:rsidTr="005C74FE">
        <w:trPr>
          <w:trHeight w:val="48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超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超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临界机组脱硫搅拌器轴焊接修复研究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杨庆旭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刘叙笔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8D742C" w:rsidRPr="007C43EA" w:rsidRDefault="008D742C" w:rsidP="005C74FE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王环丽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  <w:proofErr w:type="gramStart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李夕强</w:t>
            </w:r>
            <w:proofErr w:type="gramEnd"/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742C" w:rsidRPr="007C43EA" w:rsidRDefault="008D742C" w:rsidP="005C74FE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1"/>
                <w:szCs w:val="21"/>
              </w:rPr>
            </w:pPr>
            <w:r w:rsidRPr="007C43EA">
              <w:rPr>
                <w:rFonts w:ascii="方正仿宋_GBK" w:eastAsia="方正仿宋_GBK" w:hAnsi="宋体" w:cs="宋体" w:hint="eastAsia"/>
                <w:color w:val="000000"/>
                <w:kern w:val="0"/>
                <w:sz w:val="21"/>
                <w:szCs w:val="21"/>
              </w:rPr>
              <w:t>1.江苏方天电力技术有限公司；2.国华徐州发电有限公司</w:t>
            </w:r>
          </w:p>
        </w:tc>
      </w:tr>
    </w:tbl>
    <w:p w:rsidR="008D742C" w:rsidRPr="008D742C" w:rsidRDefault="008D742C" w:rsidP="008D742C">
      <w:pPr>
        <w:spacing w:line="240" w:lineRule="exact"/>
      </w:pPr>
    </w:p>
    <w:sectPr w:rsidR="008D742C" w:rsidRPr="008D742C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742C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00E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3B5B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D742C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2C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2018-12-03T03:45:00Z</dcterms:created>
  <dcterms:modified xsi:type="dcterms:W3CDTF">2018-12-03T03:47:00Z</dcterms:modified>
</cp:coreProperties>
</file>